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60E15543"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735D96">
              <w:rPr>
                <w:sz w:val="28"/>
                <w:szCs w:val="28"/>
              </w:rPr>
              <w:t>9</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122C0871"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735D96">
        <w:rPr>
          <w:rFonts w:ascii="Arial" w:hAnsi="Arial" w:cs="Arial"/>
        </w:rPr>
        <w:t>9</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735D96">
        <w:rPr>
          <w:rFonts w:ascii="Arial" w:hAnsi="Arial" w:cs="Arial"/>
        </w:rPr>
        <w:t xml:space="preserve">fiscal et impositions </w:t>
      </w:r>
      <w:r w:rsidR="002B2BCC">
        <w:rPr>
          <w:rFonts w:ascii="Arial" w:hAnsi="Arial" w:cs="Arial"/>
        </w:rPr>
        <w:t xml:space="preserv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35D9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243</TotalTime>
  <Pages>5</Pages>
  <Words>1414</Words>
  <Characters>7783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32</cp:revision>
  <cp:lastPrinted>2017-05-24T14:27:00Z</cp:lastPrinted>
  <dcterms:created xsi:type="dcterms:W3CDTF">2023-09-22T13:22:00Z</dcterms:created>
  <dcterms:modified xsi:type="dcterms:W3CDTF">2025-10-31T07:57:00Z</dcterms:modified>
</cp:coreProperties>
</file>